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0321" w14:textId="77777777" w:rsidR="009A4A47" w:rsidRPr="0007665C" w:rsidRDefault="00D003CE" w:rsidP="009A4A47">
      <w:pPr>
        <w:jc w:val="right"/>
        <w:rPr>
          <w:rFonts w:ascii="Constantia" w:hAnsi="Constantia"/>
          <w:color w:val="535353"/>
          <w:sz w:val="24"/>
          <w:szCs w:val="24"/>
          <w:lang w:val="en-US"/>
        </w:rPr>
      </w:pPr>
      <w:r w:rsidRPr="0007665C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6FF3C8BD" wp14:editId="4FF83E00">
                <wp:simplePos x="0" y="0"/>
                <wp:positionH relativeFrom="page">
                  <wp:posOffset>461176</wp:posOffset>
                </wp:positionH>
                <wp:positionV relativeFrom="paragraph">
                  <wp:posOffset>-664127</wp:posOffset>
                </wp:positionV>
                <wp:extent cx="5724939" cy="516835"/>
                <wp:effectExtent l="0" t="0" r="952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939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FA88" w14:textId="35DE9056" w:rsidR="009A4A47" w:rsidRPr="009A4A47" w:rsidRDefault="009A4A47" w:rsidP="009A4A47">
                            <w:pPr>
                              <w:pStyle w:val="Title"/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</w:pP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Interreg Baltic Sea Region</w:t>
                            </w:r>
                            <w:r w:rsidR="008D6BDE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 xml:space="preserve"> project, 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a</w:t>
                            </w: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 xml:space="preserve">ssistance to the policy area coordinators of the 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EUSBSR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C8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.3pt;margin-top:-52.3pt;width:450.8pt;height:40.7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70DQ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" stroked="f">
                <v:textbox>
                  <w:txbxContent>
                    <w:p w14:paraId="269DFA88" w14:textId="35DE9056" w:rsidR="009A4A47" w:rsidRPr="009A4A47" w:rsidRDefault="009A4A47" w:rsidP="009A4A47">
                      <w:pPr>
                        <w:pStyle w:val="Title"/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</w:pP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Interreg Baltic Sea Region</w:t>
                      </w:r>
                      <w:r w:rsidR="008D6BDE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 xml:space="preserve"> project, 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a</w:t>
                      </w: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 xml:space="preserve">ssistance to the policy area coordinators of the 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EUSBSR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FBFFFA" w14:textId="37D930EC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Interreg Baltic Sea Region</w:t>
      </w:r>
      <w:r w:rsidR="00266FC7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2021-2027</w:t>
      </w:r>
      <w:r w:rsidR="0065149E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project </w:t>
      </w:r>
    </w:p>
    <w:p w14:paraId="2562F7F7" w14:textId="1E2E4390" w:rsidR="009A4A47" w:rsidRPr="0007665C" w:rsidRDefault="00591026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>
        <w:rPr>
          <w:rFonts w:ascii="Calibri" w:eastAsia="Calibri" w:hAnsi="Calibri"/>
          <w:color w:val="auto"/>
          <w:sz w:val="24"/>
          <w:szCs w:val="24"/>
          <w:lang w:val="en-GB" w:eastAsia="de-DE"/>
        </w:rPr>
        <w:t>A</w:t>
      </w:r>
      <w:r w:rsidR="009A4A47"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ssistance to the policy area coordinator</w:t>
      </w:r>
      <w:r w:rsidR="00EE6DED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</w:t>
      </w:r>
      <w:r w:rsidR="00F17B50">
        <w:rPr>
          <w:rFonts w:ascii="Calibri" w:eastAsia="Calibri" w:hAnsi="Calibri"/>
          <w:color w:val="auto"/>
          <w:sz w:val="24"/>
          <w:szCs w:val="24"/>
          <w:lang w:val="en-GB" w:eastAsia="de-DE"/>
        </w:rPr>
        <w:t>Spatial Planning</w:t>
      </w:r>
      <w:r w:rsidR="009A4A47"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of the </w:t>
      </w:r>
    </w:p>
    <w:p w14:paraId="60CF93C6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EU Strategy for the Baltic Sea Region</w:t>
      </w:r>
    </w:p>
    <w:p w14:paraId="1664F2FE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39CAA881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133CC448" w14:textId="5A20DE37" w:rsidR="0007665C" w:rsidRPr="00447AC3" w:rsidRDefault="00591026" w:rsidP="009A4A47">
      <w:pPr>
        <w:jc w:val="center"/>
        <w:rPr>
          <w:b/>
          <w:sz w:val="24"/>
          <w:szCs w:val="24"/>
          <w:highlight w:val="lightGray"/>
        </w:rPr>
      </w:pPr>
      <w:r w:rsidRPr="00447AC3">
        <w:rPr>
          <w:b/>
          <w:sz w:val="24"/>
          <w:szCs w:val="24"/>
        </w:rPr>
        <w:t xml:space="preserve">Feedback </w:t>
      </w:r>
      <w:r w:rsidR="00606F60" w:rsidRPr="00447AC3">
        <w:rPr>
          <w:b/>
          <w:sz w:val="24"/>
          <w:szCs w:val="24"/>
        </w:rPr>
        <w:t xml:space="preserve">from the </w:t>
      </w:r>
      <w:r w:rsidR="00615F08" w:rsidRPr="00447AC3">
        <w:rPr>
          <w:b/>
          <w:sz w:val="24"/>
          <w:szCs w:val="24"/>
        </w:rPr>
        <w:t>S</w:t>
      </w:r>
      <w:r w:rsidR="00606F60" w:rsidRPr="00447AC3">
        <w:rPr>
          <w:b/>
          <w:sz w:val="24"/>
          <w:szCs w:val="24"/>
        </w:rPr>
        <w:t xml:space="preserve">teering </w:t>
      </w:r>
      <w:r w:rsidR="00615F08" w:rsidRPr="00447AC3">
        <w:rPr>
          <w:b/>
          <w:sz w:val="24"/>
          <w:szCs w:val="24"/>
        </w:rPr>
        <w:t>G</w:t>
      </w:r>
      <w:r w:rsidR="00606F60" w:rsidRPr="00447AC3">
        <w:rPr>
          <w:b/>
          <w:sz w:val="24"/>
          <w:szCs w:val="24"/>
        </w:rPr>
        <w:t xml:space="preserve">roup </w:t>
      </w:r>
      <w:r w:rsidR="00EE6DED" w:rsidRPr="00447AC3">
        <w:rPr>
          <w:b/>
          <w:sz w:val="24"/>
          <w:szCs w:val="24"/>
        </w:rPr>
        <w:t>of the PA</w:t>
      </w:r>
      <w:r w:rsidR="00F17B50">
        <w:rPr>
          <w:b/>
          <w:sz w:val="24"/>
          <w:szCs w:val="24"/>
        </w:rPr>
        <w:t xml:space="preserve"> Spatial Planning on land-based planning</w:t>
      </w:r>
    </w:p>
    <w:p w14:paraId="1D42B229" w14:textId="32DC245F" w:rsidR="009A4A47" w:rsidRPr="00447AC3" w:rsidRDefault="009A4A47" w:rsidP="009A4A47">
      <w:pPr>
        <w:jc w:val="center"/>
        <w:rPr>
          <w:sz w:val="24"/>
          <w:szCs w:val="24"/>
        </w:rPr>
      </w:pPr>
    </w:p>
    <w:p w14:paraId="6E4C100A" w14:textId="2D55D826" w:rsidR="006A5C4F" w:rsidRPr="006A5C4F" w:rsidRDefault="006A5C4F" w:rsidP="006A5C4F">
      <w:pPr>
        <w:jc w:val="both"/>
        <w:rPr>
          <w:sz w:val="24"/>
          <w:szCs w:val="24"/>
        </w:rPr>
      </w:pPr>
      <w:r w:rsidRPr="006A5C4F">
        <w:rPr>
          <w:sz w:val="24"/>
          <w:szCs w:val="24"/>
        </w:rPr>
        <w:t>From July 202</w:t>
      </w:r>
      <w:r w:rsidR="00937715">
        <w:rPr>
          <w:sz w:val="24"/>
          <w:szCs w:val="24"/>
        </w:rPr>
        <w:t>4</w:t>
      </w:r>
      <w:r w:rsidRPr="006A5C4F">
        <w:rPr>
          <w:sz w:val="24"/>
          <w:szCs w:val="24"/>
        </w:rPr>
        <w:t xml:space="preserve"> till June 202</w:t>
      </w:r>
      <w:r w:rsidR="00937715">
        <w:rPr>
          <w:sz w:val="24"/>
          <w:szCs w:val="24"/>
        </w:rPr>
        <w:t>5</w:t>
      </w:r>
      <w:r w:rsidRPr="006A5C4F">
        <w:rPr>
          <w:sz w:val="24"/>
          <w:szCs w:val="24"/>
        </w:rPr>
        <w:t xml:space="preserve"> </w:t>
      </w:r>
      <w:r w:rsidR="00937715">
        <w:rPr>
          <w:sz w:val="24"/>
          <w:szCs w:val="24"/>
        </w:rPr>
        <w:t>Estonia</w:t>
      </w:r>
      <w:r w:rsidRPr="006A5C4F">
        <w:rPr>
          <w:sz w:val="24"/>
          <w:szCs w:val="24"/>
        </w:rPr>
        <w:t xml:space="preserve">, the </w:t>
      </w:r>
      <w:r w:rsidR="00937715" w:rsidRPr="00937715">
        <w:rPr>
          <w:sz w:val="24"/>
          <w:szCs w:val="24"/>
        </w:rPr>
        <w:t xml:space="preserve">Ministry of Regional Affairs and Agriculture </w:t>
      </w:r>
      <w:r w:rsidRPr="006A5C4F">
        <w:rPr>
          <w:sz w:val="24"/>
          <w:szCs w:val="24"/>
        </w:rPr>
        <w:t xml:space="preserve">is chairing the Steering Group (SG) of the policy area Spatial Planning on land-based spatial planning of the EU Strategy for the Baltic Sea Region. In my capacity as Chair of the SG on land-based spatial planning, I would like to </w:t>
      </w:r>
      <w:r w:rsidRPr="00476FE2">
        <w:rPr>
          <w:sz w:val="24"/>
          <w:szCs w:val="24"/>
        </w:rPr>
        <w:t>inform the Managing Authority/Joint Secretariat of Interreg Baltic Sea Region about the</w:t>
      </w:r>
      <w:r w:rsidRPr="006A5C4F">
        <w:rPr>
          <w:sz w:val="24"/>
          <w:szCs w:val="24"/>
        </w:rPr>
        <w:t xml:space="preserve"> SG’s feedback on the implementation by the policy area coordinators within the PAC assistance project “Policy Area ‘Spatial Planning’ Support’ (PASPS) co-financed by the Programme. </w:t>
      </w:r>
    </w:p>
    <w:p w14:paraId="771052D4" w14:textId="3822EBB0" w:rsidR="006A5C4F" w:rsidRPr="006A5C4F" w:rsidRDefault="006A5C4F" w:rsidP="006A5C4F">
      <w:pPr>
        <w:jc w:val="both"/>
        <w:rPr>
          <w:sz w:val="24"/>
          <w:szCs w:val="24"/>
        </w:rPr>
      </w:pPr>
      <w:r w:rsidRPr="006A5C4F">
        <w:rPr>
          <w:sz w:val="24"/>
          <w:szCs w:val="24"/>
        </w:rPr>
        <w:t>The Steering Group of PA Spatial Planning took note of the progress and achievements of the policy area during January – December 202</w:t>
      </w:r>
      <w:r w:rsidR="00ED0A0A">
        <w:rPr>
          <w:sz w:val="24"/>
          <w:szCs w:val="24"/>
        </w:rPr>
        <w:t>4</w:t>
      </w:r>
      <w:r w:rsidRPr="006A5C4F">
        <w:rPr>
          <w:sz w:val="24"/>
          <w:szCs w:val="24"/>
        </w:rPr>
        <w:t>, jointly coordinated by HELCOM and VASAB Secretariats. The SG exchanged view on the achieved progress and has agreed on the following feedback:</w:t>
      </w:r>
    </w:p>
    <w:p w14:paraId="48469151" w14:textId="77777777" w:rsidR="006A5C4F" w:rsidRPr="006A5C4F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6A5C4F">
        <w:rPr>
          <w:sz w:val="24"/>
          <w:szCs w:val="24"/>
        </w:rPr>
        <w:t xml:space="preserve">The SG is satisfied with the progress achieved by the PA in the above-mentioned period and the work of the policy area’s coordinators (PACs). </w:t>
      </w:r>
    </w:p>
    <w:p w14:paraId="5641A578" w14:textId="77777777" w:rsidR="006A5C4F" w:rsidRPr="006A5C4F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6A5C4F">
        <w:rPr>
          <w:sz w:val="24"/>
          <w:szCs w:val="24"/>
        </w:rPr>
        <w:t xml:space="preserve">The SG emphasizes the following aspects of PACs’ work as key factors of the PA’s progress in this period: </w:t>
      </w:r>
    </w:p>
    <w:p w14:paraId="58191979" w14:textId="481BF003" w:rsidR="00476FE2" w:rsidRDefault="00476FE2" w:rsidP="0077795B">
      <w:pPr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on PASPS project prolongation application </w:t>
      </w:r>
      <w:r w:rsidRPr="00476FE2">
        <w:rPr>
          <w:sz w:val="24"/>
          <w:szCs w:val="24"/>
        </w:rPr>
        <w:t>together with the updated PASPS Work Plan 2025-2026</w:t>
      </w:r>
      <w:r>
        <w:rPr>
          <w:sz w:val="24"/>
          <w:szCs w:val="24"/>
        </w:rPr>
        <w:t xml:space="preserve"> has resulted in approved project extension by Interreg BSR Monitoring Committee. The project is extended until December 2026.</w:t>
      </w:r>
    </w:p>
    <w:p w14:paraId="4CE4E5FA" w14:textId="07DBA1AB" w:rsidR="0077795B" w:rsidRPr="0077795B" w:rsidRDefault="00E17142" w:rsidP="0077795B">
      <w:pPr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Organization of a w</w:t>
      </w:r>
      <w:r w:rsidR="0077795B">
        <w:rPr>
          <w:sz w:val="24"/>
          <w:szCs w:val="24"/>
        </w:rPr>
        <w:t xml:space="preserve">ebinar on project idea development on January 19, 2024. </w:t>
      </w:r>
      <w:r w:rsidR="0077795B" w:rsidRPr="0077795B">
        <w:rPr>
          <w:sz w:val="24"/>
          <w:szCs w:val="24"/>
        </w:rPr>
        <w:t>Spatial planners, practitioners and project developers discussed potential project ideas in 4 topics:</w:t>
      </w:r>
    </w:p>
    <w:p w14:paraId="04578BDB" w14:textId="77777777" w:rsidR="0077795B" w:rsidRPr="0077795B" w:rsidRDefault="0077795B" w:rsidP="0077795B">
      <w:pPr>
        <w:numPr>
          <w:ilvl w:val="2"/>
          <w:numId w:val="9"/>
        </w:numPr>
        <w:jc w:val="both"/>
        <w:rPr>
          <w:sz w:val="24"/>
          <w:szCs w:val="24"/>
        </w:rPr>
      </w:pPr>
      <w:r w:rsidRPr="0077795B">
        <w:rPr>
          <w:sz w:val="24"/>
          <w:szCs w:val="24"/>
        </w:rPr>
        <w:t>Good quality of life and adaptation policies in carbon neutral and resilient cities</w:t>
      </w:r>
    </w:p>
    <w:p w14:paraId="2D9CF07B" w14:textId="77777777" w:rsidR="0077795B" w:rsidRPr="0077795B" w:rsidRDefault="0077795B" w:rsidP="0077795B">
      <w:pPr>
        <w:numPr>
          <w:ilvl w:val="2"/>
          <w:numId w:val="9"/>
        </w:numPr>
        <w:jc w:val="both"/>
        <w:rPr>
          <w:sz w:val="24"/>
          <w:szCs w:val="24"/>
        </w:rPr>
      </w:pPr>
      <w:r w:rsidRPr="0077795B">
        <w:rPr>
          <w:sz w:val="24"/>
          <w:szCs w:val="24"/>
        </w:rPr>
        <w:t>Multimodal and integrated mobility and transport connections</w:t>
      </w:r>
    </w:p>
    <w:p w14:paraId="78C260B1" w14:textId="77777777" w:rsidR="0077795B" w:rsidRPr="0077795B" w:rsidRDefault="0077795B" w:rsidP="0077795B">
      <w:pPr>
        <w:numPr>
          <w:ilvl w:val="2"/>
          <w:numId w:val="9"/>
        </w:numPr>
        <w:jc w:val="both"/>
        <w:rPr>
          <w:sz w:val="24"/>
          <w:szCs w:val="24"/>
        </w:rPr>
      </w:pPr>
      <w:r w:rsidRPr="0077795B">
        <w:rPr>
          <w:sz w:val="24"/>
          <w:szCs w:val="24"/>
        </w:rPr>
        <w:t>Secure, climate proofing and decentralized energy systems</w:t>
      </w:r>
    </w:p>
    <w:p w14:paraId="5404677A" w14:textId="77777777" w:rsidR="0077795B" w:rsidRPr="0077795B" w:rsidRDefault="0077795B" w:rsidP="0077795B">
      <w:pPr>
        <w:numPr>
          <w:ilvl w:val="2"/>
          <w:numId w:val="9"/>
        </w:numPr>
        <w:jc w:val="both"/>
        <w:rPr>
          <w:sz w:val="24"/>
          <w:szCs w:val="24"/>
        </w:rPr>
      </w:pPr>
      <w:r w:rsidRPr="0077795B">
        <w:rPr>
          <w:sz w:val="24"/>
          <w:szCs w:val="24"/>
        </w:rPr>
        <w:t>Sustainable blue economy and environmental protection in coastal areas and at the sea</w:t>
      </w:r>
    </w:p>
    <w:p w14:paraId="220BF6DF" w14:textId="4FB9C0F4" w:rsidR="0077795B" w:rsidRDefault="0077795B" w:rsidP="006A5C4F">
      <w:pPr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 presence in EUSBSR and PA relevant events: Blue Mission BANOS Mission Arena 2 (April 25-26, Riga), European Maritime Day (May 30-31, Svendborg), EU Macro-regional and Sea Basin Strategies Days (June 12-13, Brussels), </w:t>
      </w:r>
      <w:r w:rsidRPr="0077795B">
        <w:rPr>
          <w:sz w:val="24"/>
          <w:szCs w:val="24"/>
        </w:rPr>
        <w:t>Opening event of Poland's EUSBSR Presidency</w:t>
      </w:r>
      <w:r>
        <w:rPr>
          <w:sz w:val="24"/>
          <w:szCs w:val="24"/>
        </w:rPr>
        <w:t xml:space="preserve"> (September 10, Warsaw), </w:t>
      </w:r>
      <w:r w:rsidRPr="0077795B">
        <w:rPr>
          <w:sz w:val="24"/>
          <w:szCs w:val="24"/>
        </w:rPr>
        <w:t>The Annual Event 2024 of the Interreg South Baltic Programme 2021-2027</w:t>
      </w:r>
      <w:r>
        <w:rPr>
          <w:sz w:val="24"/>
          <w:szCs w:val="24"/>
        </w:rPr>
        <w:t xml:space="preserve"> (September 25, Stralsund), </w:t>
      </w:r>
      <w:r w:rsidRPr="0077795B">
        <w:rPr>
          <w:sz w:val="24"/>
          <w:szCs w:val="24"/>
        </w:rPr>
        <w:t>European MSP Week</w:t>
      </w:r>
      <w:r>
        <w:rPr>
          <w:sz w:val="24"/>
          <w:szCs w:val="24"/>
        </w:rPr>
        <w:t xml:space="preserve"> (October 22-24, Marseilles), </w:t>
      </w:r>
      <w:r w:rsidRPr="0077795B">
        <w:rPr>
          <w:sz w:val="24"/>
          <w:szCs w:val="24"/>
        </w:rPr>
        <w:t>EUSBSR Annual Forum 2024</w:t>
      </w:r>
      <w:r>
        <w:rPr>
          <w:sz w:val="24"/>
          <w:szCs w:val="24"/>
        </w:rPr>
        <w:t xml:space="preserve"> (October 29-31, Visby)</w:t>
      </w:r>
      <w:r w:rsidR="00D674C5">
        <w:rPr>
          <w:sz w:val="24"/>
          <w:szCs w:val="24"/>
        </w:rPr>
        <w:t xml:space="preserve"> and two ESPON Seminars (June 5-6, Mons and November 6-7, Budapest).</w:t>
      </w:r>
    </w:p>
    <w:p w14:paraId="1B1B68F0" w14:textId="13BC457B" w:rsidR="0077795B" w:rsidRDefault="0077795B" w:rsidP="0077795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77795B">
        <w:rPr>
          <w:sz w:val="24"/>
          <w:szCs w:val="24"/>
        </w:rPr>
        <w:lastRenderedPageBreak/>
        <w:t>PAC assistance has been valuable in continuing the dialogue of MSP practitioners towards more coherent planning in the Baltic Sea and organisation of MSP Planners</w:t>
      </w:r>
      <w:r>
        <w:rPr>
          <w:sz w:val="24"/>
          <w:szCs w:val="24"/>
        </w:rPr>
        <w:t>’</w:t>
      </w:r>
      <w:r w:rsidRPr="0077795B">
        <w:rPr>
          <w:sz w:val="24"/>
          <w:szCs w:val="24"/>
        </w:rPr>
        <w:t xml:space="preserve"> Forum meetings. During 202</w:t>
      </w:r>
      <w:r>
        <w:rPr>
          <w:sz w:val="24"/>
          <w:szCs w:val="24"/>
        </w:rPr>
        <w:t>4</w:t>
      </w:r>
      <w:r w:rsidRPr="007779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two </w:t>
      </w:r>
      <w:r w:rsidRPr="0077795B">
        <w:rPr>
          <w:sz w:val="24"/>
          <w:szCs w:val="24"/>
        </w:rPr>
        <w:t>Planners</w:t>
      </w:r>
      <w:r>
        <w:rPr>
          <w:sz w:val="24"/>
          <w:szCs w:val="24"/>
        </w:rPr>
        <w:t>’</w:t>
      </w:r>
      <w:r w:rsidRPr="0077795B">
        <w:rPr>
          <w:sz w:val="24"/>
          <w:szCs w:val="24"/>
        </w:rPr>
        <w:t xml:space="preserve"> Forum</w:t>
      </w:r>
      <w:r>
        <w:rPr>
          <w:sz w:val="24"/>
          <w:szCs w:val="24"/>
        </w:rPr>
        <w:t>s</w:t>
      </w:r>
      <w:r w:rsidRPr="0077795B">
        <w:rPr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Pr="0077795B">
        <w:rPr>
          <w:sz w:val="24"/>
          <w:szCs w:val="24"/>
        </w:rPr>
        <w:t xml:space="preserve"> worked on the pressing topics for BSR and EU – </w:t>
      </w:r>
      <w:r>
        <w:rPr>
          <w:sz w:val="24"/>
          <w:szCs w:val="24"/>
        </w:rPr>
        <w:t>multi-use and coexistence (April 18) and cumulative impacts (October 17)</w:t>
      </w:r>
      <w:r w:rsidRPr="0077795B">
        <w:rPr>
          <w:sz w:val="24"/>
          <w:szCs w:val="24"/>
        </w:rPr>
        <w:t>, as well as served as a platform for project idea development on MSP-related issues.</w:t>
      </w:r>
    </w:p>
    <w:p w14:paraId="4B28BFC5" w14:textId="7F6B55B2" w:rsidR="00D674C5" w:rsidRPr="006A5C4F" w:rsidRDefault="00D674C5" w:rsidP="00D674C5">
      <w:pPr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6A5C4F">
        <w:rPr>
          <w:sz w:val="24"/>
          <w:szCs w:val="24"/>
        </w:rPr>
        <w:t xml:space="preserve">egular communication and exchange with </w:t>
      </w:r>
      <w:r>
        <w:rPr>
          <w:sz w:val="24"/>
          <w:szCs w:val="24"/>
        </w:rPr>
        <w:t>PA relevant</w:t>
      </w:r>
      <w:r w:rsidRPr="006A5C4F">
        <w:rPr>
          <w:sz w:val="24"/>
          <w:szCs w:val="24"/>
        </w:rPr>
        <w:t xml:space="preserve"> projects (such as – </w:t>
      </w:r>
      <w:r>
        <w:rPr>
          <w:sz w:val="24"/>
          <w:szCs w:val="24"/>
        </w:rPr>
        <w:t xml:space="preserve">SUMPs for BSR, </w:t>
      </w:r>
      <w:r w:rsidRPr="006A5C4F">
        <w:rPr>
          <w:sz w:val="24"/>
          <w:szCs w:val="24"/>
        </w:rPr>
        <w:t xml:space="preserve">We Make </w:t>
      </w:r>
      <w:proofErr w:type="gramStart"/>
      <w:r w:rsidRPr="006A5C4F">
        <w:rPr>
          <w:sz w:val="24"/>
          <w:szCs w:val="24"/>
        </w:rPr>
        <w:t>Transition!,</w:t>
      </w:r>
      <w:proofErr w:type="gramEnd"/>
      <w:r w:rsidRPr="006A5C4F">
        <w:rPr>
          <w:sz w:val="24"/>
          <w:szCs w:val="24"/>
        </w:rPr>
        <w:t xml:space="preserve"> Liveability, </w:t>
      </w:r>
      <w:r w:rsidR="0035189B">
        <w:rPr>
          <w:sz w:val="24"/>
          <w:szCs w:val="24"/>
        </w:rPr>
        <w:t xml:space="preserve">CCC, BEACH-SOS, </w:t>
      </w:r>
      <w:r w:rsidRPr="006A5C4F">
        <w:rPr>
          <w:sz w:val="24"/>
          <w:szCs w:val="24"/>
        </w:rPr>
        <w:t xml:space="preserve">MSP GREEN, eMSP NBSR, Baltic Sea2Land, </w:t>
      </w:r>
      <w:r w:rsidRPr="00B272F2">
        <w:rPr>
          <w:sz w:val="24"/>
          <w:szCs w:val="24"/>
        </w:rPr>
        <w:t>MSP4BIO</w:t>
      </w:r>
      <w:r w:rsidR="00B272F2">
        <w:rPr>
          <w:sz w:val="24"/>
          <w:szCs w:val="24"/>
        </w:rPr>
        <w:t xml:space="preserve">, </w:t>
      </w:r>
      <w:proofErr w:type="spellStart"/>
      <w:r w:rsidRPr="00B272F2">
        <w:rPr>
          <w:sz w:val="24"/>
          <w:szCs w:val="24"/>
        </w:rPr>
        <w:t>ReMAP</w:t>
      </w:r>
      <w:proofErr w:type="spellEnd"/>
      <w:r w:rsidRPr="006A5C4F">
        <w:rPr>
          <w:sz w:val="24"/>
          <w:szCs w:val="24"/>
        </w:rPr>
        <w:t xml:space="preserve">) </w:t>
      </w:r>
      <w:r>
        <w:rPr>
          <w:sz w:val="24"/>
          <w:szCs w:val="24"/>
        </w:rPr>
        <w:t>has been ensured. Projects have had the opportunity to present themselves at VASAB / PA Spatial Planning stand at EUSBSR Annual Forum 2024 in Visby and in our SG meetings.</w:t>
      </w:r>
    </w:p>
    <w:p w14:paraId="04E47352" w14:textId="23995BAA" w:rsidR="00D674C5" w:rsidRPr="00B272F2" w:rsidRDefault="00D674C5" w:rsidP="0077795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272F2">
        <w:rPr>
          <w:sz w:val="24"/>
          <w:szCs w:val="24"/>
        </w:rPr>
        <w:t>PACs</w:t>
      </w:r>
      <w:r w:rsidR="00E17142" w:rsidRPr="00B272F2">
        <w:rPr>
          <w:sz w:val="24"/>
          <w:szCs w:val="24"/>
        </w:rPr>
        <w:t>’</w:t>
      </w:r>
      <w:r w:rsidRPr="00B272F2">
        <w:rPr>
          <w:sz w:val="24"/>
          <w:szCs w:val="24"/>
        </w:rPr>
        <w:t xml:space="preserve"> work on EUSBSR Action Plan update to submit first draft of Policy Area </w:t>
      </w:r>
      <w:r w:rsidR="00E17142" w:rsidRPr="00B272F2">
        <w:rPr>
          <w:sz w:val="24"/>
          <w:szCs w:val="24"/>
        </w:rPr>
        <w:t>description</w:t>
      </w:r>
      <w:r w:rsidRPr="00B272F2">
        <w:rPr>
          <w:sz w:val="24"/>
          <w:szCs w:val="24"/>
        </w:rPr>
        <w:t xml:space="preserve"> by the end of January 2025. </w:t>
      </w:r>
    </w:p>
    <w:p w14:paraId="3CDFBD80" w14:textId="65E4F070" w:rsidR="00D674C5" w:rsidRPr="00B272F2" w:rsidRDefault="00476FE2" w:rsidP="0077795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272F2">
        <w:rPr>
          <w:sz w:val="24"/>
          <w:szCs w:val="24"/>
        </w:rPr>
        <w:t>Initiation and partnership in Interreg BSR’s Project platform</w:t>
      </w:r>
      <w:r w:rsidR="00B272F2" w:rsidRPr="00B272F2">
        <w:rPr>
          <w:sz w:val="24"/>
          <w:szCs w:val="24"/>
        </w:rPr>
        <w:t xml:space="preserve">s: Baltic </w:t>
      </w:r>
      <w:proofErr w:type="spellStart"/>
      <w:r w:rsidR="00B272F2" w:rsidRPr="00B272F2">
        <w:rPr>
          <w:sz w:val="24"/>
          <w:szCs w:val="24"/>
        </w:rPr>
        <w:t>PlaNet</w:t>
      </w:r>
      <w:proofErr w:type="spellEnd"/>
      <w:r w:rsidR="00B272F2" w:rsidRPr="00B272F2">
        <w:rPr>
          <w:sz w:val="24"/>
          <w:szCs w:val="24"/>
        </w:rPr>
        <w:t>, SEABAS.</w:t>
      </w:r>
    </w:p>
    <w:p w14:paraId="4C3ECD24" w14:textId="4746780B" w:rsidR="00476FE2" w:rsidRPr="00B272F2" w:rsidRDefault="00476FE2" w:rsidP="0077795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272F2">
        <w:rPr>
          <w:sz w:val="24"/>
          <w:szCs w:val="24"/>
        </w:rPr>
        <w:t>Regular meetings and updates with B</w:t>
      </w:r>
      <w:r w:rsidR="00B272F2" w:rsidRPr="00B272F2">
        <w:rPr>
          <w:sz w:val="24"/>
          <w:szCs w:val="24"/>
        </w:rPr>
        <w:t xml:space="preserve">altic Sea </w:t>
      </w:r>
      <w:r w:rsidRPr="00B272F2">
        <w:rPr>
          <w:sz w:val="24"/>
          <w:szCs w:val="24"/>
        </w:rPr>
        <w:t>S</w:t>
      </w:r>
      <w:r w:rsidR="00B272F2" w:rsidRPr="00B272F2">
        <w:rPr>
          <w:sz w:val="24"/>
          <w:szCs w:val="24"/>
        </w:rPr>
        <w:t xml:space="preserve">trategy </w:t>
      </w:r>
      <w:r w:rsidRPr="00B272F2">
        <w:rPr>
          <w:sz w:val="24"/>
          <w:szCs w:val="24"/>
        </w:rPr>
        <w:t>P</w:t>
      </w:r>
      <w:r w:rsidR="00B272F2" w:rsidRPr="00B272F2">
        <w:rPr>
          <w:sz w:val="24"/>
          <w:szCs w:val="24"/>
        </w:rPr>
        <w:t>oint.</w:t>
      </w:r>
    </w:p>
    <w:p w14:paraId="6FD30AB0" w14:textId="4FD5C5AE" w:rsidR="00476FE2" w:rsidRPr="00B272F2" w:rsidRDefault="00476FE2" w:rsidP="0077795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272F2">
        <w:rPr>
          <w:sz w:val="24"/>
          <w:szCs w:val="24"/>
        </w:rPr>
        <w:t>Work on the updated EUSBSR website: designing and maintaining PA Spatial Planning page for PA promotion.</w:t>
      </w:r>
    </w:p>
    <w:p w14:paraId="7A3FB986" w14:textId="4C053877" w:rsidR="006A5C4F" w:rsidRPr="00C82B87" w:rsidRDefault="00C82B87" w:rsidP="00C82B8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SG has been informed about the progress made by the PACs in supporting project idea generation </w:t>
      </w:r>
      <w:r w:rsidRPr="00B272F2">
        <w:rPr>
          <w:sz w:val="24"/>
          <w:szCs w:val="24"/>
        </w:rPr>
        <w:t>during the 91</w:t>
      </w:r>
      <w:r w:rsidRPr="00B272F2">
        <w:rPr>
          <w:sz w:val="24"/>
          <w:szCs w:val="24"/>
          <w:vertAlign w:val="superscript"/>
        </w:rPr>
        <w:t>st</w:t>
      </w:r>
      <w:r w:rsidRPr="00B272F2">
        <w:rPr>
          <w:sz w:val="24"/>
          <w:szCs w:val="24"/>
        </w:rPr>
        <w:t xml:space="preserve"> SG meeting on 14-15 March 2024. The SG is satisfied with the achievements so far</w:t>
      </w:r>
      <w:proofErr w:type="gramStart"/>
      <w:r w:rsidRPr="00B272F2">
        <w:rPr>
          <w:sz w:val="24"/>
          <w:szCs w:val="24"/>
        </w:rPr>
        <w:t>, in particular, concerning</w:t>
      </w:r>
      <w:proofErr w:type="gramEnd"/>
      <w:r w:rsidRPr="00B272F2">
        <w:rPr>
          <w:sz w:val="24"/>
          <w:szCs w:val="24"/>
        </w:rPr>
        <w:t xml:space="preserve"> </w:t>
      </w:r>
      <w:r w:rsidR="00B272F2" w:rsidRPr="00B272F2">
        <w:rPr>
          <w:sz w:val="24"/>
          <w:szCs w:val="24"/>
        </w:rPr>
        <w:t>project</w:t>
      </w:r>
      <w:r w:rsidR="00B272F2">
        <w:rPr>
          <w:sz w:val="24"/>
          <w:szCs w:val="24"/>
        </w:rPr>
        <w:t xml:space="preserve"> ideas </w:t>
      </w:r>
      <w:r w:rsidR="00D90613">
        <w:rPr>
          <w:sz w:val="24"/>
          <w:szCs w:val="24"/>
        </w:rPr>
        <w:t>to support</w:t>
      </w:r>
      <w:r w:rsidR="00B272F2">
        <w:rPr>
          <w:sz w:val="24"/>
          <w:szCs w:val="24"/>
        </w:rPr>
        <w:t xml:space="preserve"> land-based spatial planning </w:t>
      </w:r>
      <w:r w:rsidR="00D90613">
        <w:rPr>
          <w:sz w:val="24"/>
          <w:szCs w:val="24"/>
        </w:rPr>
        <w:t>of all governance levels.</w:t>
      </w:r>
    </w:p>
    <w:p w14:paraId="79BD4C47" w14:textId="77777777" w:rsidR="006A5C4F" w:rsidRPr="00D90613" w:rsidRDefault="006A5C4F" w:rsidP="006A5C4F">
      <w:pPr>
        <w:jc w:val="both"/>
        <w:rPr>
          <w:sz w:val="24"/>
          <w:szCs w:val="24"/>
        </w:rPr>
      </w:pPr>
      <w:r w:rsidRPr="00D90613">
        <w:rPr>
          <w:sz w:val="24"/>
          <w:szCs w:val="24"/>
        </w:rPr>
        <w:t xml:space="preserve">Furthermore, the SG would like to give the following recommendations that should be considered by the PACs in their work during the upcoming year: </w:t>
      </w:r>
    </w:p>
    <w:p w14:paraId="6E2430B5" w14:textId="35C4485A" w:rsidR="006A5C4F" w:rsidRPr="00D90613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D90613">
        <w:rPr>
          <w:sz w:val="24"/>
          <w:szCs w:val="24"/>
        </w:rPr>
        <w:t>contribute to revision of EUSBSR Action Plan,</w:t>
      </w:r>
    </w:p>
    <w:p w14:paraId="70E4A73A" w14:textId="4FB421E7" w:rsidR="007A5867" w:rsidRPr="00D90613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D90613">
        <w:rPr>
          <w:sz w:val="24"/>
          <w:szCs w:val="24"/>
        </w:rPr>
        <w:t xml:space="preserve">continue the work on </w:t>
      </w:r>
      <w:r w:rsidR="007A5867" w:rsidRPr="00D90613">
        <w:rPr>
          <w:sz w:val="24"/>
          <w:szCs w:val="24"/>
        </w:rPr>
        <w:t>organizing different events: webinars, workshops, MSP Planners’ Forums</w:t>
      </w:r>
      <w:r w:rsidR="00D90613" w:rsidRPr="00D90613">
        <w:rPr>
          <w:sz w:val="24"/>
          <w:szCs w:val="24"/>
        </w:rPr>
        <w:t>, Land-based Planners’ Forum</w:t>
      </w:r>
      <w:r w:rsidR="007A5867" w:rsidRPr="00D90613">
        <w:rPr>
          <w:sz w:val="24"/>
          <w:szCs w:val="24"/>
        </w:rPr>
        <w:t>. Assist organizational work of 5</w:t>
      </w:r>
      <w:r w:rsidR="007A5867" w:rsidRPr="00D90613">
        <w:rPr>
          <w:sz w:val="24"/>
          <w:szCs w:val="24"/>
          <w:vertAlign w:val="superscript"/>
        </w:rPr>
        <w:t>th</w:t>
      </w:r>
      <w:r w:rsidR="007A5867" w:rsidRPr="00D90613">
        <w:rPr>
          <w:sz w:val="24"/>
          <w:szCs w:val="24"/>
        </w:rPr>
        <w:t xml:space="preserve"> Baltic MSP Forum in November 11-12, 2025.</w:t>
      </w:r>
    </w:p>
    <w:p w14:paraId="6DB18D56" w14:textId="6904A8AF" w:rsidR="006A5C4F" w:rsidRPr="00D90613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D90613">
        <w:rPr>
          <w:sz w:val="24"/>
          <w:szCs w:val="24"/>
        </w:rPr>
        <w:t xml:space="preserve">explore possibilities in </w:t>
      </w:r>
      <w:r w:rsidR="007A5867" w:rsidRPr="00D90613">
        <w:rPr>
          <w:sz w:val="24"/>
          <w:szCs w:val="24"/>
        </w:rPr>
        <w:t>organizing third Young Planners Summer School to include youth stakeholders in generating ideas for future BSR</w:t>
      </w:r>
      <w:r w:rsidRPr="00D90613">
        <w:rPr>
          <w:sz w:val="24"/>
          <w:szCs w:val="24"/>
        </w:rPr>
        <w:t>,</w:t>
      </w:r>
    </w:p>
    <w:p w14:paraId="327621A5" w14:textId="62EADA23" w:rsidR="006A5C4F" w:rsidRPr="00D90613" w:rsidRDefault="006A5C4F" w:rsidP="006A5C4F">
      <w:pPr>
        <w:numPr>
          <w:ilvl w:val="0"/>
          <w:numId w:val="9"/>
        </w:numPr>
        <w:jc w:val="both"/>
        <w:rPr>
          <w:sz w:val="24"/>
          <w:szCs w:val="24"/>
        </w:rPr>
      </w:pPr>
      <w:r w:rsidRPr="00D90613">
        <w:rPr>
          <w:sz w:val="24"/>
          <w:szCs w:val="24"/>
        </w:rPr>
        <w:t xml:space="preserve">assist PA`s </w:t>
      </w:r>
      <w:r w:rsidR="007A5867" w:rsidRPr="00D90613">
        <w:rPr>
          <w:sz w:val="24"/>
          <w:szCs w:val="24"/>
        </w:rPr>
        <w:t>Estonian</w:t>
      </w:r>
      <w:r w:rsidRPr="00D90613">
        <w:rPr>
          <w:sz w:val="24"/>
          <w:szCs w:val="24"/>
        </w:rPr>
        <w:t xml:space="preserve"> </w:t>
      </w:r>
      <w:r w:rsidR="00D90613" w:rsidRPr="00D90613">
        <w:rPr>
          <w:sz w:val="24"/>
          <w:szCs w:val="24"/>
        </w:rPr>
        <w:t xml:space="preserve">and Polish </w:t>
      </w:r>
      <w:r w:rsidRPr="00D90613">
        <w:rPr>
          <w:sz w:val="24"/>
          <w:szCs w:val="24"/>
        </w:rPr>
        <w:t>Chairmanship by ensuring discussion and exchange of</w:t>
      </w:r>
      <w:r w:rsidR="00F66033" w:rsidRPr="00D90613">
        <w:rPr>
          <w:sz w:val="24"/>
          <w:szCs w:val="24"/>
        </w:rPr>
        <w:t xml:space="preserve"> spatial planning</w:t>
      </w:r>
      <w:r w:rsidRPr="00D90613">
        <w:rPr>
          <w:sz w:val="24"/>
          <w:szCs w:val="24"/>
        </w:rPr>
        <w:t xml:space="preserve"> practices </w:t>
      </w:r>
      <w:r w:rsidR="007A5867" w:rsidRPr="00D90613">
        <w:rPr>
          <w:sz w:val="24"/>
          <w:szCs w:val="24"/>
        </w:rPr>
        <w:t>based on their priorities.</w:t>
      </w:r>
    </w:p>
    <w:p w14:paraId="00E82D03" w14:textId="77777777" w:rsidR="006A5C4F" w:rsidRDefault="006A5C4F" w:rsidP="006A5C4F">
      <w:pPr>
        <w:jc w:val="both"/>
        <w:rPr>
          <w:sz w:val="24"/>
          <w:szCs w:val="24"/>
        </w:rPr>
      </w:pPr>
    </w:p>
    <w:p w14:paraId="787D997D" w14:textId="77777777" w:rsidR="000209EC" w:rsidRDefault="000209EC" w:rsidP="006A5C4F">
      <w:pPr>
        <w:jc w:val="both"/>
        <w:rPr>
          <w:sz w:val="24"/>
          <w:szCs w:val="24"/>
        </w:rPr>
      </w:pPr>
    </w:p>
    <w:p w14:paraId="241F89E4" w14:textId="77777777" w:rsidR="000209EC" w:rsidRPr="006A5C4F" w:rsidRDefault="000209EC" w:rsidP="006A5C4F">
      <w:pPr>
        <w:jc w:val="both"/>
        <w:rPr>
          <w:sz w:val="24"/>
          <w:szCs w:val="24"/>
        </w:rPr>
      </w:pPr>
    </w:p>
    <w:p w14:paraId="2CCD2CC9" w14:textId="77777777" w:rsidR="00937715" w:rsidRDefault="00937715" w:rsidP="006A5C4F">
      <w:pPr>
        <w:jc w:val="both"/>
        <w:rPr>
          <w:b/>
          <w:bCs/>
          <w:sz w:val="24"/>
          <w:szCs w:val="24"/>
        </w:rPr>
      </w:pPr>
      <w:r w:rsidRPr="00937715">
        <w:rPr>
          <w:b/>
          <w:bCs/>
          <w:sz w:val="24"/>
          <w:szCs w:val="24"/>
        </w:rPr>
        <w:t>Mr. Tiit Oidjärv</w:t>
      </w:r>
    </w:p>
    <w:p w14:paraId="14A47444" w14:textId="52590E2F" w:rsidR="006A5C4F" w:rsidRPr="006A5C4F" w:rsidRDefault="006A5C4F" w:rsidP="006A5C4F">
      <w:pPr>
        <w:jc w:val="both"/>
        <w:rPr>
          <w:sz w:val="24"/>
          <w:szCs w:val="24"/>
        </w:rPr>
      </w:pPr>
      <w:r w:rsidRPr="006A5C4F">
        <w:rPr>
          <w:sz w:val="24"/>
          <w:szCs w:val="24"/>
        </w:rPr>
        <w:t>Chair of VASAB CSPD/BSR / Steering Group of Policy Area Spatial Planning on land-based spatial planning issues</w:t>
      </w:r>
    </w:p>
    <w:p w14:paraId="76654225" w14:textId="4FD4ACA6" w:rsidR="008C5A4A" w:rsidRDefault="00937715" w:rsidP="0007665C">
      <w:pPr>
        <w:jc w:val="both"/>
        <w:rPr>
          <w:sz w:val="24"/>
          <w:szCs w:val="24"/>
        </w:rPr>
      </w:pPr>
      <w:r w:rsidRPr="00937715">
        <w:rPr>
          <w:sz w:val="24"/>
          <w:szCs w:val="24"/>
        </w:rPr>
        <w:t>Ministry of Regional Affairs and Agriculture</w:t>
      </w:r>
      <w:r w:rsidR="00E17142">
        <w:rPr>
          <w:sz w:val="24"/>
          <w:szCs w:val="24"/>
        </w:rPr>
        <w:t xml:space="preserve"> of Estonia</w:t>
      </w:r>
    </w:p>
    <w:sectPr w:rsidR="008C5A4A" w:rsidSect="00D003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49" w:bottom="1985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99AE" w14:textId="77777777" w:rsidR="00E770A0" w:rsidRDefault="00E770A0" w:rsidP="00962158">
      <w:pPr>
        <w:spacing w:before="0"/>
      </w:pPr>
      <w:r>
        <w:separator/>
      </w:r>
    </w:p>
  </w:endnote>
  <w:endnote w:type="continuationSeparator" w:id="0">
    <w:p w14:paraId="06A0C545" w14:textId="77777777" w:rsidR="00E770A0" w:rsidRDefault="00E770A0" w:rsidP="00962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FB01" w14:textId="77777777" w:rsidR="00170171" w:rsidRPr="00170171" w:rsidRDefault="00CB3AFE" w:rsidP="00170171">
    <w:pPr>
      <w:pStyle w:val="Footer"/>
      <w:tabs>
        <w:tab w:val="clear" w:pos="9072"/>
        <w:tab w:val="right" w:pos="9356"/>
      </w:tabs>
      <w:jc w:val="right"/>
      <w:rPr>
        <w:color w:val="004E84" w:themeColor="text2"/>
      </w:rPr>
    </w:pPr>
    <w:r>
      <w:rPr>
        <w:b/>
        <w:noProof/>
        <w:color w:val="2CAAE1"/>
        <w:sz w:val="12"/>
        <w:szCs w:val="12"/>
        <w:lang w:val="de-AT" w:eastAsia="de-AT"/>
      </w:rPr>
      <w:drawing>
        <wp:anchor distT="0" distB="0" distL="114300" distR="114300" simplePos="0" relativeHeight="251659264" behindDoc="0" locked="0" layoutInCell="1" allowOverlap="1" wp14:anchorId="60A6C164" wp14:editId="78561050">
          <wp:simplePos x="0" y="0"/>
          <wp:positionH relativeFrom="column">
            <wp:posOffset>7951</wp:posOffset>
          </wp:positionH>
          <wp:positionV relativeFrom="page">
            <wp:posOffset>9845040</wp:posOffset>
          </wp:positionV>
          <wp:extent cx="2729230" cy="390525"/>
          <wp:effectExtent l="0" t="0" r="0" b="9525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liver\AppData\Local\Microsoft\Windows\INetCache\Content.Word\Logo_fre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FF"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BCB7FD" wp14:editId="1AEB202E">
              <wp:simplePos x="0" y="0"/>
              <wp:positionH relativeFrom="column">
                <wp:posOffset>3431540</wp:posOffset>
              </wp:positionH>
              <wp:positionV relativeFrom="paragraph">
                <wp:posOffset>-83185</wp:posOffset>
              </wp:positionV>
              <wp:extent cx="2259965" cy="302260"/>
              <wp:effectExtent l="0" t="0" r="0" b="254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A6D15" w14:textId="77777777" w:rsidR="00FB31FF" w:rsidRPr="00A8447D" w:rsidRDefault="00FB31FF" w:rsidP="00FB31FF">
                          <w:pPr>
                            <w:jc w:val="righ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interreg-baltic.eu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CB7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2pt;margin-top:-6.55pt;width:177.95pt;height:23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" filled="f" stroked="f">
              <v:textbox>
                <w:txbxContent>
                  <w:p w14:paraId="3BDA6D15" w14:textId="77777777" w:rsidR="00FB31FF" w:rsidRPr="00A8447D" w:rsidRDefault="00FB31FF" w:rsidP="00FB31FF">
                    <w:pPr>
                      <w:jc w:val="righ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interreg-baltic.eu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4E84" w:themeColor="text2"/>
        </w:rPr>
        <w:id w:val="-17507244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84" w:themeColor="text2"/>
            </w:rPr>
            <w:id w:val="45801102"/>
            <w:docPartObj>
              <w:docPartGallery w:val="Page Numbers (Top of Page)"/>
              <w:docPartUnique/>
            </w:docPartObj>
          </w:sdtPr>
          <w:sdtEndPr/>
          <w:sdtContent>
            <w:r w:rsidR="00170171" w:rsidRPr="00170171">
              <w:rPr>
                <w:color w:val="004E84" w:themeColor="text2"/>
                <w:lang w:val="de-DE"/>
              </w:rPr>
              <w:t xml:space="preserve">Page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PAGE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  <w:r w:rsidR="00170171" w:rsidRPr="00170171">
              <w:rPr>
                <w:color w:val="004E84" w:themeColor="text2"/>
                <w:lang w:val="de-DE"/>
              </w:rPr>
              <w:t xml:space="preserve"> /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NUMPAGES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</w:sdtContent>
        </w:sdt>
      </w:sdtContent>
    </w:sdt>
  </w:p>
  <w:p w14:paraId="1D6F417D" w14:textId="77777777" w:rsidR="00DB30F9" w:rsidRPr="0058320F" w:rsidRDefault="00DB30F9" w:rsidP="0058320F">
    <w:pPr>
      <w:pStyle w:val="Footer"/>
      <w:jc w:val="right"/>
      <w:rPr>
        <w:color w:val="007BB2" w:themeColor="background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B3A7" w14:textId="77777777" w:rsidR="00DB30F9" w:rsidRPr="00732EBD" w:rsidRDefault="00AF6472" w:rsidP="00EA2F3F">
    <w:pPr>
      <w:spacing w:line="300" w:lineRule="exact"/>
      <w:ind w:left="1134"/>
      <w:rPr>
        <w:color w:val="4B4B4D" w:themeColor="text1"/>
        <w:sz w:val="20"/>
        <w:szCs w:val="20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EBF6AEE" wp14:editId="6075E9FA">
          <wp:simplePos x="0" y="0"/>
          <wp:positionH relativeFrom="column">
            <wp:posOffset>-128270</wp:posOffset>
          </wp:positionH>
          <wp:positionV relativeFrom="paragraph">
            <wp:posOffset>-499110</wp:posOffset>
          </wp:positionV>
          <wp:extent cx="3219450" cy="638175"/>
          <wp:effectExtent l="0" t="0" r="0" b="9525"/>
          <wp:wrapNone/>
          <wp:docPr id="31" name="Grafik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EAFB" w14:textId="77777777" w:rsidR="00E770A0" w:rsidRDefault="00E770A0" w:rsidP="00962158">
      <w:pPr>
        <w:spacing w:before="0"/>
      </w:pPr>
      <w:r>
        <w:separator/>
      </w:r>
    </w:p>
  </w:footnote>
  <w:footnote w:type="continuationSeparator" w:id="0">
    <w:p w14:paraId="4691CADB" w14:textId="77777777" w:rsidR="00E770A0" w:rsidRDefault="00E770A0" w:rsidP="009621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F4E1" w14:textId="77777777" w:rsidR="00DB30F9" w:rsidRPr="006C42C5" w:rsidRDefault="00D003CE" w:rsidP="006C42C5">
    <w:pPr>
      <w:pStyle w:val="Header"/>
      <w:tabs>
        <w:tab w:val="left" w:pos="6521"/>
      </w:tabs>
    </w:pPr>
    <w:r>
      <w:rPr>
        <w:noProof/>
        <w:lang w:val="de-AT" w:eastAsia="de-AT"/>
      </w:rPr>
      <w:drawing>
        <wp:anchor distT="0" distB="0" distL="114300" distR="114300" simplePos="0" relativeHeight="251655168" behindDoc="0" locked="0" layoutInCell="1" allowOverlap="1" wp14:anchorId="2AB91DA5" wp14:editId="1AB303D5">
          <wp:simplePos x="0" y="0"/>
          <wp:positionH relativeFrom="page">
            <wp:posOffset>6279515</wp:posOffset>
          </wp:positionH>
          <wp:positionV relativeFrom="page">
            <wp:posOffset>506095</wp:posOffset>
          </wp:positionV>
          <wp:extent cx="748030" cy="393700"/>
          <wp:effectExtent l="0" t="0" r="0" b="6350"/>
          <wp:wrapNone/>
          <wp:docPr id="30" name="Grafik 30" descr="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0F9">
      <w:br/>
    </w:r>
    <w:r w:rsidR="00DB30F9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EE06" w14:textId="77777777" w:rsidR="00DB30F9" w:rsidRDefault="00BD15B3" w:rsidP="005957CB">
    <w:pPr>
      <w:pStyle w:val="Header"/>
      <w:tabs>
        <w:tab w:val="clear" w:pos="4536"/>
        <w:tab w:val="clear" w:pos="9072"/>
      </w:tabs>
      <w:rPr>
        <w:b/>
        <w:color w:val="2CAAE1"/>
        <w:sz w:val="12"/>
        <w:szCs w:val="12"/>
      </w:rPr>
    </w:pPr>
    <w:r w:rsidRPr="00BB7B0A">
      <w:rPr>
        <w:b/>
        <w:noProof/>
        <w:color w:val="2CAAE1"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93E5230" wp14:editId="76E3CE3B">
              <wp:simplePos x="0" y="0"/>
              <wp:positionH relativeFrom="page">
                <wp:posOffset>48895</wp:posOffset>
              </wp:positionH>
              <wp:positionV relativeFrom="page">
                <wp:posOffset>3818890</wp:posOffset>
              </wp:positionV>
              <wp:extent cx="356235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F8BD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85pt,300.7pt" to="31.9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" o:allowoverlap="f" strokecolor="#d9d9d9" strokeweight="1pt">
              <w10:wrap anchorx="page" anchory="page"/>
              <w10:anchorlock/>
            </v:line>
          </w:pict>
        </mc:Fallback>
      </mc:AlternateContent>
    </w:r>
  </w:p>
  <w:p w14:paraId="42D23917" w14:textId="77777777" w:rsidR="00DB30F9" w:rsidRDefault="00DB30F9" w:rsidP="0079485D">
    <w:pPr>
      <w:pStyle w:val="Header"/>
      <w:tabs>
        <w:tab w:val="clear" w:pos="4536"/>
        <w:tab w:val="clear" w:pos="9072"/>
        <w:tab w:val="left" w:pos="3630"/>
      </w:tabs>
      <w:rPr>
        <w:b/>
        <w:color w:val="2CAAE1"/>
        <w:sz w:val="12"/>
        <w:szCs w:val="12"/>
      </w:rPr>
    </w:pPr>
  </w:p>
  <w:p w14:paraId="15E50A30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EC49D52" w14:textId="77777777" w:rsidR="00DB30F9" w:rsidRDefault="00DB30F9" w:rsidP="002C4211">
    <w:pPr>
      <w:pStyle w:val="Header"/>
      <w:tabs>
        <w:tab w:val="clear" w:pos="4536"/>
        <w:tab w:val="clear" w:pos="9072"/>
        <w:tab w:val="left" w:pos="505"/>
      </w:tabs>
      <w:rPr>
        <w:b/>
        <w:color w:val="2CAAE1"/>
        <w:sz w:val="12"/>
        <w:szCs w:val="12"/>
      </w:rPr>
    </w:pPr>
  </w:p>
  <w:p w14:paraId="27D40A03" w14:textId="77777777" w:rsidR="00DB30F9" w:rsidRDefault="00DB30F9" w:rsidP="00AE3B3D">
    <w:pPr>
      <w:pStyle w:val="Header"/>
      <w:tabs>
        <w:tab w:val="left" w:pos="6521"/>
      </w:tabs>
      <w:ind w:left="360"/>
      <w:rPr>
        <w:b/>
        <w:color w:val="2CAAE1"/>
        <w:sz w:val="12"/>
        <w:szCs w:val="12"/>
      </w:rPr>
    </w:pPr>
  </w:p>
  <w:p w14:paraId="0C90E9EA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2E6A5ACD" w14:textId="77777777" w:rsidR="00DB30F9" w:rsidRDefault="00DB30F9" w:rsidP="0044588A">
    <w:pPr>
      <w:pStyle w:val="Header"/>
      <w:tabs>
        <w:tab w:val="left" w:pos="6521"/>
      </w:tabs>
      <w:jc w:val="right"/>
      <w:rPr>
        <w:b/>
        <w:color w:val="2CAAE1"/>
        <w:sz w:val="12"/>
        <w:szCs w:val="12"/>
      </w:rPr>
    </w:pPr>
  </w:p>
  <w:p w14:paraId="412A2511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8DCD8AB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1B70C348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50006C9C" w14:textId="77777777" w:rsidR="00DB30F9" w:rsidRDefault="00DB30F9" w:rsidP="00843EFE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3B537324" w14:textId="77777777" w:rsidR="00DB30F9" w:rsidRDefault="00684874" w:rsidP="00732EBD">
    <w:pPr>
      <w:pStyle w:val="Header"/>
      <w:tabs>
        <w:tab w:val="left" w:pos="6521"/>
      </w:tabs>
      <w:spacing w:after="60" w:line="276" w:lineRule="auto"/>
      <w:rPr>
        <w:b/>
        <w:color w:val="2CAAE1"/>
        <w:sz w:val="12"/>
        <w:szCs w:val="12"/>
      </w:rPr>
    </w:pPr>
    <w:r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0" distR="0" simplePos="0" relativeHeight="251658240" behindDoc="1" locked="0" layoutInCell="1" allowOverlap="1" wp14:anchorId="1C6BA2A0" wp14:editId="684A8AE5">
              <wp:simplePos x="0" y="0"/>
              <wp:positionH relativeFrom="margin">
                <wp:posOffset>1149350</wp:posOffset>
              </wp:positionH>
              <wp:positionV relativeFrom="paragraph">
                <wp:posOffset>4125595</wp:posOffset>
              </wp:positionV>
              <wp:extent cx="2584450" cy="1173600"/>
              <wp:effectExtent l="0" t="0" r="6350" b="7620"/>
              <wp:wrapThrough wrapText="bothSides">
                <wp:wrapPolygon edited="0">
                  <wp:start x="0" y="0"/>
                  <wp:lineTo x="0" y="21390"/>
                  <wp:lineTo x="21494" y="21390"/>
                  <wp:lineTo x="21494" y="0"/>
                  <wp:lineTo x="0" y="0"/>
                </wp:wrapPolygon>
              </wp:wrapThrough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17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7B61" w14:textId="77777777" w:rsidR="00EA2F3F" w:rsidRPr="00980587" w:rsidRDefault="00EA2F3F" w:rsidP="00EA2F3F">
                          <w:pPr>
                            <w:spacing w:before="0" w:line="300" w:lineRule="exact"/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terreg</w:t>
                          </w: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Baltic Sea Region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br/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Managing Authority/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Joint Secretariat</w:t>
                          </w:r>
                        </w:p>
                        <w:p w14:paraId="55EB1FCA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</w:pP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IB.SH Investitionsbank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</w:t>
                          </w: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Schleswig-Holstein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br/>
                          </w:r>
                          <w:proofErr w:type="spellStart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Grubenstrasse</w:t>
                          </w:r>
                          <w:proofErr w:type="spellEnd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20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/ </w:t>
                          </w:r>
                          <w:r w:rsidRPr="00732EB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18055 Rostock / Germany</w:t>
                          </w:r>
                        </w:p>
                        <w:p w14:paraId="382F6346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  <w:t>Reg. Kiel HRA 4310</w:t>
                          </w:r>
                        </w:p>
                        <w:p w14:paraId="0D003492" w14:textId="77777777" w:rsidR="00EA2F3F" w:rsidRPr="00BD15B3" w:rsidRDefault="00EA2F3F" w:rsidP="00EA2F3F">
                          <w:pPr>
                            <w:spacing w:before="0" w:line="300" w:lineRule="exac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BA2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.5pt;margin-top:324.85pt;width:203.5pt;height:92.4pt;z-index:-251658240;visibility:visible;mso-wrap-style:square;mso-width-percent:0;mso-height-percent:0;mso-wrap-distance-left:0;mso-wrap-distance-top:3.6pt;mso-wrap-distance-right:0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" stroked="f">
              <v:textbox>
                <w:txbxContent>
                  <w:p w14:paraId="61D57B61" w14:textId="77777777" w:rsidR="00EA2F3F" w:rsidRPr="00980587" w:rsidRDefault="00EA2F3F" w:rsidP="00EA2F3F">
                    <w:pPr>
                      <w:spacing w:before="0" w:line="300" w:lineRule="exact"/>
                      <w:rPr>
                        <w:b/>
                        <w:color w:val="004E84" w:themeColor="text2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terreg</w:t>
                    </w: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 xml:space="preserve"> 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Baltic Sea Region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br/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Managing Authority/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t xml:space="preserve"> </w:t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Joint Secretariat</w:t>
                    </w:r>
                  </w:p>
                  <w:p w14:paraId="55EB1FCA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</w:pP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IB.SH Investitionsbank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</w:t>
                    </w: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Schleswig-Holstein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br/>
                    </w:r>
                    <w:proofErr w:type="spellStart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Grubenstrasse</w:t>
                    </w:r>
                    <w:proofErr w:type="spellEnd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20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/ </w:t>
                    </w:r>
                    <w:r w:rsidRPr="00732EB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18055 Rostock / Germany</w:t>
                    </w:r>
                  </w:p>
                  <w:p w14:paraId="382F6346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 w:rsidRPr="00A8447D"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  <w:t>Reg. Kiel HRA 4310</w:t>
                    </w:r>
                  </w:p>
                  <w:p w14:paraId="0D003492" w14:textId="77777777" w:rsidR="00EA2F3F" w:rsidRPr="00BD15B3" w:rsidRDefault="00EA2F3F" w:rsidP="00EA2F3F">
                    <w:pPr>
                      <w:spacing w:before="0" w:line="300" w:lineRule="exact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829"/>
    <w:multiLevelType w:val="hybridMultilevel"/>
    <w:tmpl w:val="9850D3C2"/>
    <w:lvl w:ilvl="0" w:tplc="F926CD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285"/>
    <w:multiLevelType w:val="hybridMultilevel"/>
    <w:tmpl w:val="3A006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6BF"/>
    <w:multiLevelType w:val="hybridMultilevel"/>
    <w:tmpl w:val="860CD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536"/>
    <w:multiLevelType w:val="hybridMultilevel"/>
    <w:tmpl w:val="29A026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782"/>
    <w:multiLevelType w:val="hybridMultilevel"/>
    <w:tmpl w:val="AC0011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3A5"/>
    <w:multiLevelType w:val="hybridMultilevel"/>
    <w:tmpl w:val="330C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47B5"/>
    <w:multiLevelType w:val="hybridMultilevel"/>
    <w:tmpl w:val="6846D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440B"/>
    <w:multiLevelType w:val="hybridMultilevel"/>
    <w:tmpl w:val="1EE8F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3402"/>
    <w:multiLevelType w:val="multilevel"/>
    <w:tmpl w:val="41E66ECA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9" w15:restartNumberingAfterBreak="0">
    <w:nsid w:val="6E4E7D95"/>
    <w:multiLevelType w:val="multilevel"/>
    <w:tmpl w:val="4E048382"/>
    <w:lvl w:ilvl="0">
      <w:start w:val="1"/>
      <w:numFmt w:val="decimal"/>
      <w:lvlText w:val="%1."/>
      <w:lvlJc w:val="left"/>
      <w:pPr>
        <w:ind w:left="1321" w:hanging="244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10" w15:restartNumberingAfterBreak="0">
    <w:nsid w:val="753F3D54"/>
    <w:multiLevelType w:val="hybridMultilevel"/>
    <w:tmpl w:val="06AEB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2664">
    <w:abstractNumId w:val="9"/>
  </w:num>
  <w:num w:numId="2" w16cid:durableId="539971989">
    <w:abstractNumId w:val="8"/>
  </w:num>
  <w:num w:numId="3" w16cid:durableId="1118571303">
    <w:abstractNumId w:val="6"/>
  </w:num>
  <w:num w:numId="4" w16cid:durableId="2115518843">
    <w:abstractNumId w:val="10"/>
  </w:num>
  <w:num w:numId="5" w16cid:durableId="694427494">
    <w:abstractNumId w:val="4"/>
  </w:num>
  <w:num w:numId="6" w16cid:durableId="730083363">
    <w:abstractNumId w:val="7"/>
  </w:num>
  <w:num w:numId="7" w16cid:durableId="849106820">
    <w:abstractNumId w:val="1"/>
  </w:num>
  <w:num w:numId="8" w16cid:durableId="202406100">
    <w:abstractNumId w:val="2"/>
  </w:num>
  <w:num w:numId="9" w16cid:durableId="1255091299">
    <w:abstractNumId w:val="0"/>
  </w:num>
  <w:num w:numId="10" w16cid:durableId="197277496">
    <w:abstractNumId w:val="5"/>
  </w:num>
  <w:num w:numId="11" w16cid:durableId="164685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M7YwNTG2MDc1MzBX0lEKTi0uzszPAykwrAUA5pHrQCwAAAA="/>
  </w:docVars>
  <w:rsids>
    <w:rsidRoot w:val="009A4A47"/>
    <w:rsid w:val="00000789"/>
    <w:rsid w:val="00012847"/>
    <w:rsid w:val="000164CC"/>
    <w:rsid w:val="00017CCE"/>
    <w:rsid w:val="000209EC"/>
    <w:rsid w:val="00024584"/>
    <w:rsid w:val="000255FF"/>
    <w:rsid w:val="000262EF"/>
    <w:rsid w:val="0003510D"/>
    <w:rsid w:val="00045A51"/>
    <w:rsid w:val="00046A96"/>
    <w:rsid w:val="00054FC4"/>
    <w:rsid w:val="00057E9F"/>
    <w:rsid w:val="00061E03"/>
    <w:rsid w:val="0007047B"/>
    <w:rsid w:val="00075974"/>
    <w:rsid w:val="0007665C"/>
    <w:rsid w:val="00092DC1"/>
    <w:rsid w:val="000A09EB"/>
    <w:rsid w:val="000A70CB"/>
    <w:rsid w:val="000B3961"/>
    <w:rsid w:val="000C19E3"/>
    <w:rsid w:val="000E64F6"/>
    <w:rsid w:val="000F7A83"/>
    <w:rsid w:val="00105273"/>
    <w:rsid w:val="00113ECC"/>
    <w:rsid w:val="001143B3"/>
    <w:rsid w:val="00132873"/>
    <w:rsid w:val="001520DB"/>
    <w:rsid w:val="0015561B"/>
    <w:rsid w:val="0016000C"/>
    <w:rsid w:val="00160C1E"/>
    <w:rsid w:val="001643E9"/>
    <w:rsid w:val="00170171"/>
    <w:rsid w:val="0018554F"/>
    <w:rsid w:val="00190C4F"/>
    <w:rsid w:val="001C1705"/>
    <w:rsid w:val="001D741A"/>
    <w:rsid w:val="001D7AD2"/>
    <w:rsid w:val="001D7B3B"/>
    <w:rsid w:val="001F3B16"/>
    <w:rsid w:val="002056AE"/>
    <w:rsid w:val="00225DBD"/>
    <w:rsid w:val="00230711"/>
    <w:rsid w:val="002349F8"/>
    <w:rsid w:val="00242148"/>
    <w:rsid w:val="00266FC7"/>
    <w:rsid w:val="002745C9"/>
    <w:rsid w:val="00275C67"/>
    <w:rsid w:val="002B0800"/>
    <w:rsid w:val="002B431B"/>
    <w:rsid w:val="002C4211"/>
    <w:rsid w:val="002D09DB"/>
    <w:rsid w:val="00310F84"/>
    <w:rsid w:val="00312EB4"/>
    <w:rsid w:val="003158C4"/>
    <w:rsid w:val="00333806"/>
    <w:rsid w:val="0035189B"/>
    <w:rsid w:val="0036312F"/>
    <w:rsid w:val="00366BCA"/>
    <w:rsid w:val="00390E67"/>
    <w:rsid w:val="003A4A4F"/>
    <w:rsid w:val="003A57F0"/>
    <w:rsid w:val="003A5DDF"/>
    <w:rsid w:val="003B1428"/>
    <w:rsid w:val="003C4A70"/>
    <w:rsid w:val="003E48F5"/>
    <w:rsid w:val="003E784F"/>
    <w:rsid w:val="0041361F"/>
    <w:rsid w:val="00426DF1"/>
    <w:rsid w:val="0044588A"/>
    <w:rsid w:val="00447AC3"/>
    <w:rsid w:val="00450595"/>
    <w:rsid w:val="004674AF"/>
    <w:rsid w:val="0047535B"/>
    <w:rsid w:val="00476FE2"/>
    <w:rsid w:val="00490A1F"/>
    <w:rsid w:val="00492F9E"/>
    <w:rsid w:val="004A28C8"/>
    <w:rsid w:val="004A2B93"/>
    <w:rsid w:val="004D44E5"/>
    <w:rsid w:val="004F0DF8"/>
    <w:rsid w:val="005011BF"/>
    <w:rsid w:val="00530D80"/>
    <w:rsid w:val="00533B46"/>
    <w:rsid w:val="00542B1D"/>
    <w:rsid w:val="005573C4"/>
    <w:rsid w:val="00563AD3"/>
    <w:rsid w:val="00581BAB"/>
    <w:rsid w:val="0058320F"/>
    <w:rsid w:val="00584607"/>
    <w:rsid w:val="00586F55"/>
    <w:rsid w:val="00591026"/>
    <w:rsid w:val="005957CB"/>
    <w:rsid w:val="00596278"/>
    <w:rsid w:val="005B0EBF"/>
    <w:rsid w:val="005B4FA5"/>
    <w:rsid w:val="005B5AFF"/>
    <w:rsid w:val="005B63B8"/>
    <w:rsid w:val="005C71E5"/>
    <w:rsid w:val="005D7E60"/>
    <w:rsid w:val="005E625E"/>
    <w:rsid w:val="005F05A8"/>
    <w:rsid w:val="00606F60"/>
    <w:rsid w:val="00610352"/>
    <w:rsid w:val="00610CEE"/>
    <w:rsid w:val="006139D9"/>
    <w:rsid w:val="00615F08"/>
    <w:rsid w:val="00621B70"/>
    <w:rsid w:val="00647166"/>
    <w:rsid w:val="0065149E"/>
    <w:rsid w:val="00684874"/>
    <w:rsid w:val="006A5C4F"/>
    <w:rsid w:val="006C42C5"/>
    <w:rsid w:val="006E5A7D"/>
    <w:rsid w:val="006F449D"/>
    <w:rsid w:val="00700BEB"/>
    <w:rsid w:val="00715F50"/>
    <w:rsid w:val="00717357"/>
    <w:rsid w:val="00732EBD"/>
    <w:rsid w:val="00737A26"/>
    <w:rsid w:val="00740902"/>
    <w:rsid w:val="00744E1D"/>
    <w:rsid w:val="00756A9B"/>
    <w:rsid w:val="00757427"/>
    <w:rsid w:val="00765630"/>
    <w:rsid w:val="00773CCA"/>
    <w:rsid w:val="00776063"/>
    <w:rsid w:val="0077795B"/>
    <w:rsid w:val="00792DB1"/>
    <w:rsid w:val="0079485D"/>
    <w:rsid w:val="007A5867"/>
    <w:rsid w:val="007A6C1E"/>
    <w:rsid w:val="007A6D4B"/>
    <w:rsid w:val="007A794E"/>
    <w:rsid w:val="007B10B0"/>
    <w:rsid w:val="007B68F9"/>
    <w:rsid w:val="007C06ED"/>
    <w:rsid w:val="007D4EBC"/>
    <w:rsid w:val="007E2C73"/>
    <w:rsid w:val="007E3A76"/>
    <w:rsid w:val="007E4199"/>
    <w:rsid w:val="007F1458"/>
    <w:rsid w:val="00833445"/>
    <w:rsid w:val="00835954"/>
    <w:rsid w:val="00841DA1"/>
    <w:rsid w:val="00843EFE"/>
    <w:rsid w:val="00851379"/>
    <w:rsid w:val="00853431"/>
    <w:rsid w:val="00865C01"/>
    <w:rsid w:val="00873FED"/>
    <w:rsid w:val="008760F8"/>
    <w:rsid w:val="0087646E"/>
    <w:rsid w:val="00877A3A"/>
    <w:rsid w:val="008A115B"/>
    <w:rsid w:val="008C5A4A"/>
    <w:rsid w:val="008D6BDE"/>
    <w:rsid w:val="00905CFF"/>
    <w:rsid w:val="00914365"/>
    <w:rsid w:val="00937715"/>
    <w:rsid w:val="009413F9"/>
    <w:rsid w:val="00954548"/>
    <w:rsid w:val="00962158"/>
    <w:rsid w:val="00980587"/>
    <w:rsid w:val="009A4A47"/>
    <w:rsid w:val="009C08D4"/>
    <w:rsid w:val="009F17BD"/>
    <w:rsid w:val="009F2BCA"/>
    <w:rsid w:val="00A01FF6"/>
    <w:rsid w:val="00A02E50"/>
    <w:rsid w:val="00A3025A"/>
    <w:rsid w:val="00A54CBF"/>
    <w:rsid w:val="00A61C14"/>
    <w:rsid w:val="00A665CF"/>
    <w:rsid w:val="00A8447D"/>
    <w:rsid w:val="00A970FC"/>
    <w:rsid w:val="00AD443F"/>
    <w:rsid w:val="00AE3B3D"/>
    <w:rsid w:val="00AF6472"/>
    <w:rsid w:val="00B0043B"/>
    <w:rsid w:val="00B175D4"/>
    <w:rsid w:val="00B272F2"/>
    <w:rsid w:val="00B415BB"/>
    <w:rsid w:val="00B62357"/>
    <w:rsid w:val="00B662B1"/>
    <w:rsid w:val="00B71103"/>
    <w:rsid w:val="00B7600F"/>
    <w:rsid w:val="00B7685C"/>
    <w:rsid w:val="00B85640"/>
    <w:rsid w:val="00B97ACA"/>
    <w:rsid w:val="00BB7B0A"/>
    <w:rsid w:val="00BD15B3"/>
    <w:rsid w:val="00BD27F2"/>
    <w:rsid w:val="00BD7CAD"/>
    <w:rsid w:val="00C03A59"/>
    <w:rsid w:val="00C20003"/>
    <w:rsid w:val="00C25449"/>
    <w:rsid w:val="00C47DB2"/>
    <w:rsid w:val="00C51AAD"/>
    <w:rsid w:val="00C5348A"/>
    <w:rsid w:val="00C57151"/>
    <w:rsid w:val="00C7022E"/>
    <w:rsid w:val="00C703AC"/>
    <w:rsid w:val="00C721AA"/>
    <w:rsid w:val="00C73DB6"/>
    <w:rsid w:val="00C74201"/>
    <w:rsid w:val="00C74727"/>
    <w:rsid w:val="00C776D9"/>
    <w:rsid w:val="00C82B87"/>
    <w:rsid w:val="00C82EDB"/>
    <w:rsid w:val="00C847E3"/>
    <w:rsid w:val="00C96625"/>
    <w:rsid w:val="00CA5134"/>
    <w:rsid w:val="00CB3AFE"/>
    <w:rsid w:val="00CC3F2B"/>
    <w:rsid w:val="00CC44E1"/>
    <w:rsid w:val="00CD05F9"/>
    <w:rsid w:val="00CE2847"/>
    <w:rsid w:val="00CE7D1D"/>
    <w:rsid w:val="00CF40A0"/>
    <w:rsid w:val="00D003CE"/>
    <w:rsid w:val="00D210EE"/>
    <w:rsid w:val="00D3396E"/>
    <w:rsid w:val="00D40E12"/>
    <w:rsid w:val="00D4135D"/>
    <w:rsid w:val="00D4612F"/>
    <w:rsid w:val="00D611C6"/>
    <w:rsid w:val="00D674C5"/>
    <w:rsid w:val="00D75CC7"/>
    <w:rsid w:val="00D90613"/>
    <w:rsid w:val="00D90AF2"/>
    <w:rsid w:val="00DB2103"/>
    <w:rsid w:val="00DB30F9"/>
    <w:rsid w:val="00DD6606"/>
    <w:rsid w:val="00DF522C"/>
    <w:rsid w:val="00DF733B"/>
    <w:rsid w:val="00DF7BAC"/>
    <w:rsid w:val="00E04F19"/>
    <w:rsid w:val="00E126AF"/>
    <w:rsid w:val="00E127D0"/>
    <w:rsid w:val="00E127DF"/>
    <w:rsid w:val="00E13347"/>
    <w:rsid w:val="00E1422A"/>
    <w:rsid w:val="00E17142"/>
    <w:rsid w:val="00E2201A"/>
    <w:rsid w:val="00E23340"/>
    <w:rsid w:val="00E24568"/>
    <w:rsid w:val="00E265A0"/>
    <w:rsid w:val="00E33E5F"/>
    <w:rsid w:val="00E408ED"/>
    <w:rsid w:val="00E770A0"/>
    <w:rsid w:val="00E83C0D"/>
    <w:rsid w:val="00E92402"/>
    <w:rsid w:val="00E94394"/>
    <w:rsid w:val="00EA022B"/>
    <w:rsid w:val="00EA2F3F"/>
    <w:rsid w:val="00EA3189"/>
    <w:rsid w:val="00EA5813"/>
    <w:rsid w:val="00EB4D44"/>
    <w:rsid w:val="00EB7947"/>
    <w:rsid w:val="00ED0A0A"/>
    <w:rsid w:val="00ED70B8"/>
    <w:rsid w:val="00EE003B"/>
    <w:rsid w:val="00EE6DED"/>
    <w:rsid w:val="00F03990"/>
    <w:rsid w:val="00F17B50"/>
    <w:rsid w:val="00F2300C"/>
    <w:rsid w:val="00F34DAA"/>
    <w:rsid w:val="00F359D2"/>
    <w:rsid w:val="00F36FC5"/>
    <w:rsid w:val="00F43348"/>
    <w:rsid w:val="00F43A0D"/>
    <w:rsid w:val="00F44D26"/>
    <w:rsid w:val="00F639B0"/>
    <w:rsid w:val="00F66033"/>
    <w:rsid w:val="00F814E5"/>
    <w:rsid w:val="00F83683"/>
    <w:rsid w:val="00F83AB9"/>
    <w:rsid w:val="00FA51A9"/>
    <w:rsid w:val="00FA5E7D"/>
    <w:rsid w:val="00FB073B"/>
    <w:rsid w:val="00FB31FF"/>
    <w:rsid w:val="00FC60E2"/>
    <w:rsid w:val="00FD158D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16876"/>
  <w15:docId w15:val="{591BAEA3-02EC-4545-9176-EE667D6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FED"/>
    <w:pPr>
      <w:spacing w:before="80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A09EB"/>
    <w:pPr>
      <w:keepNext/>
      <w:keepLines/>
      <w:spacing w:before="480"/>
      <w:outlineLvl w:val="0"/>
    </w:pPr>
    <w:rPr>
      <w:rFonts w:eastAsia="Times New Roman"/>
      <w:b/>
      <w:bCs/>
      <w:color w:val="9F9A1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09EB"/>
    <w:rPr>
      <w:rFonts w:ascii="Calibri" w:eastAsia="Times New Roman" w:hAnsi="Calibri" w:cs="Times New Roman"/>
      <w:b/>
      <w:bCs/>
      <w:color w:val="9F9A1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62158"/>
  </w:style>
  <w:style w:type="paragraph" w:styleId="Footer">
    <w:name w:val="footer"/>
    <w:basedOn w:val="Normal"/>
    <w:link w:val="Foot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62158"/>
  </w:style>
  <w:style w:type="character" w:styleId="Hyperlink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ListParagraph"/>
    <w:link w:val="1HeadlineZchn"/>
    <w:qFormat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qFormat/>
    <w:rsid w:val="00C776D9"/>
    <w:rPr>
      <w:b/>
      <w:color w:val="007BB2" w:themeColor="background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qFormat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Revision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9485D"/>
  </w:style>
  <w:style w:type="paragraph" w:styleId="TOC2">
    <w:name w:val="toc 2"/>
    <w:basedOn w:val="Normal"/>
    <w:next w:val="Normal"/>
    <w:autoRedefine/>
    <w:uiPriority w:val="39"/>
    <w:unhideWhenUsed/>
    <w:rsid w:val="0079485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485D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9485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9485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9485D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9485D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9485D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9485D"/>
    <w:pPr>
      <w:ind w:left="1760"/>
    </w:pPr>
  </w:style>
  <w:style w:type="table" w:styleId="TableGrid">
    <w:name w:val="Table Grid"/>
    <w:basedOn w:val="TableNormal"/>
    <w:uiPriority w:val="5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E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itleChar">
    <w:name w:val="Title Char"/>
    <w:basedOn w:val="DefaultParagraphFont"/>
    <w:link w:val="Title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ListTable1Light-Accent5">
    <w:name w:val="List Table 1 Light Accent 5"/>
    <w:basedOn w:val="TableNormal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PlainTable2">
    <w:name w:val="Plain Table 2"/>
    <w:aliases w:val="IBSR Base"/>
    <w:basedOn w:val="TableNormal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ListTable2-Accent5">
    <w:name w:val="List Table 2 Accent 5"/>
    <w:basedOn w:val="TableNormal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03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3B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kolosova\Desktop\2021_InterregBSR_template_portrait1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4CFF-4CFE-4976-9B0D-1F09902E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2021_InterregBSR_template_portrait1</Template>
  <TotalTime>258</TotalTime>
  <Pages>2</Pages>
  <Words>3130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Kolosova, Elena</dc:creator>
  <cp:lastModifiedBy>Jana Patmalniece</cp:lastModifiedBy>
  <cp:revision>13</cp:revision>
  <cp:lastPrinted>2021-08-30T13:05:00Z</cp:lastPrinted>
  <dcterms:created xsi:type="dcterms:W3CDTF">2024-02-21T08:32:00Z</dcterms:created>
  <dcterms:modified xsi:type="dcterms:W3CDTF">2024-12-05T13:09:00Z</dcterms:modified>
</cp:coreProperties>
</file>